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B5" w:rsidRPr="0060645E" w:rsidRDefault="003A7B15" w:rsidP="00DD09D8">
      <w:pPr>
        <w:widowControl w:val="0"/>
        <w:autoSpaceDE w:val="0"/>
        <w:autoSpaceDN w:val="0"/>
        <w:adjustRightInd w:val="0"/>
        <w:rPr>
          <w:rFonts w:ascii="Calibri" w:hAnsi="Calibri" w:cs="Calibri"/>
          <w:szCs w:val="32"/>
        </w:rPr>
      </w:pPr>
      <w:r>
        <w:rPr>
          <w:rFonts w:ascii="Calibri" w:hAnsi="Calibri" w:cs="Calibri"/>
          <w:szCs w:val="32"/>
        </w:rPr>
        <w:t>ROLES AND</w:t>
      </w:r>
      <w:r w:rsidR="00DD09D8" w:rsidRPr="0060645E">
        <w:rPr>
          <w:rFonts w:ascii="Calibri" w:hAnsi="Calibri" w:cs="Calibri"/>
          <w:szCs w:val="32"/>
        </w:rPr>
        <w:t xml:space="preserve"> PRINCIPLES </w:t>
      </w:r>
      <w:r w:rsidR="00397AB5" w:rsidRPr="0060645E">
        <w:rPr>
          <w:rFonts w:ascii="Calibri" w:hAnsi="Calibri" w:cs="Calibri"/>
          <w:szCs w:val="32"/>
        </w:rPr>
        <w:t>OF SHARED GOVERNANCE</w:t>
      </w:r>
    </w:p>
    <w:p w:rsidR="00DD09D8" w:rsidRPr="003A7B15" w:rsidRDefault="008819D7" w:rsidP="00DD09D8">
      <w:pPr>
        <w:widowControl w:val="0"/>
        <w:autoSpaceDE w:val="0"/>
        <w:autoSpaceDN w:val="0"/>
        <w:adjustRightInd w:val="0"/>
        <w:rPr>
          <w:rFonts w:ascii="Calibri" w:hAnsi="Calibri" w:cs="Calibri"/>
          <w:i/>
          <w:sz w:val="18"/>
          <w:szCs w:val="32"/>
        </w:rPr>
      </w:pPr>
      <w:r w:rsidRPr="003A7B15">
        <w:rPr>
          <w:rFonts w:ascii="Calibri" w:hAnsi="Calibri" w:cs="Calibri"/>
          <w:i/>
          <w:sz w:val="18"/>
          <w:szCs w:val="32"/>
        </w:rPr>
        <w:t xml:space="preserve">WORKING DRAFT, </w:t>
      </w:r>
      <w:r w:rsidR="003A7B15" w:rsidRPr="003A7B15">
        <w:rPr>
          <w:rFonts w:ascii="Calibri" w:hAnsi="Calibri" w:cs="Calibri"/>
          <w:i/>
          <w:sz w:val="18"/>
          <w:szCs w:val="32"/>
        </w:rPr>
        <w:t>August 15</w:t>
      </w:r>
      <w:r w:rsidRPr="003A7B15">
        <w:rPr>
          <w:rFonts w:ascii="Calibri" w:hAnsi="Calibri" w:cs="Calibri"/>
          <w:i/>
          <w:sz w:val="18"/>
          <w:szCs w:val="32"/>
        </w:rPr>
        <w:t>, 2011</w:t>
      </w:r>
    </w:p>
    <w:p w:rsidR="00FF26E0" w:rsidRDefault="00FF26E0" w:rsidP="00DD09D8">
      <w:pPr>
        <w:widowControl w:val="0"/>
        <w:autoSpaceDE w:val="0"/>
        <w:autoSpaceDN w:val="0"/>
        <w:adjustRightInd w:val="0"/>
        <w:rPr>
          <w:rFonts w:ascii="Calibri" w:hAnsi="Calibri" w:cs="Calibri"/>
          <w:i/>
          <w:szCs w:val="32"/>
        </w:rPr>
      </w:pPr>
    </w:p>
    <w:p w:rsidR="00E174A9" w:rsidRPr="003A7B15" w:rsidRDefault="00E174A9" w:rsidP="00DD09D8">
      <w:pPr>
        <w:widowControl w:val="0"/>
        <w:autoSpaceDE w:val="0"/>
        <w:autoSpaceDN w:val="0"/>
        <w:adjustRightInd w:val="0"/>
        <w:rPr>
          <w:rFonts w:ascii="Calibri" w:hAnsi="Calibri" w:cs="Calibri"/>
          <w:i/>
          <w:sz w:val="22"/>
          <w:szCs w:val="32"/>
        </w:rPr>
      </w:pPr>
      <w:r w:rsidRPr="003A7B15">
        <w:rPr>
          <w:rFonts w:ascii="Calibri" w:hAnsi="Calibri" w:cs="Calibri"/>
          <w:i/>
          <w:sz w:val="22"/>
          <w:szCs w:val="32"/>
        </w:rPr>
        <w:t>Preamble/Introduction</w:t>
      </w:r>
    </w:p>
    <w:p w:rsidR="00577EC8" w:rsidRPr="003A7B15" w:rsidRDefault="006952C5" w:rsidP="00DD09D8">
      <w:pPr>
        <w:widowControl w:val="0"/>
        <w:autoSpaceDE w:val="0"/>
        <w:autoSpaceDN w:val="0"/>
        <w:adjustRightInd w:val="0"/>
        <w:rPr>
          <w:rFonts w:asciiTheme="majorHAnsi" w:hAnsiTheme="majorHAnsi"/>
          <w:sz w:val="22"/>
        </w:rPr>
      </w:pPr>
      <w:r w:rsidRPr="003A7B15">
        <w:rPr>
          <w:rFonts w:asciiTheme="majorHAnsi" w:hAnsiTheme="majorHAnsi"/>
          <w:sz w:val="22"/>
        </w:rPr>
        <w:t>Shared Governance at Philadelphia University seeks to balance a rational allocation of decision-making responsibilities within a structure imbued with both a spirit and letter of consultation and cooperation.  The rational allocation of decision-making is based on the defined areas and interrelationships of primary responsibilities of the governing board, administration, and faculty.</w:t>
      </w:r>
    </w:p>
    <w:p w:rsidR="004E591F" w:rsidRPr="003A7B15" w:rsidRDefault="004E591F" w:rsidP="00DD09D8">
      <w:pPr>
        <w:widowControl w:val="0"/>
        <w:autoSpaceDE w:val="0"/>
        <w:autoSpaceDN w:val="0"/>
        <w:adjustRightInd w:val="0"/>
        <w:rPr>
          <w:rFonts w:asciiTheme="majorHAnsi" w:hAnsiTheme="majorHAnsi"/>
          <w:sz w:val="22"/>
        </w:rPr>
      </w:pPr>
    </w:p>
    <w:p w:rsidR="004E591F" w:rsidRPr="003A7B15" w:rsidRDefault="004E591F" w:rsidP="004E591F">
      <w:pPr>
        <w:rPr>
          <w:rFonts w:asciiTheme="majorHAnsi" w:hAnsiTheme="majorHAnsi"/>
          <w:sz w:val="22"/>
        </w:rPr>
      </w:pPr>
      <w:r w:rsidRPr="003A7B15">
        <w:rPr>
          <w:rFonts w:asciiTheme="majorHAnsi" w:hAnsiTheme="majorHAnsi"/>
          <w:sz w:val="22"/>
        </w:rPr>
        <w:t xml:space="preserve">The following core principles for shared governance are intended to invoke </w:t>
      </w:r>
      <w:r w:rsidR="006952C5" w:rsidRPr="003A7B15">
        <w:rPr>
          <w:rFonts w:asciiTheme="majorHAnsi" w:hAnsiTheme="majorHAnsi"/>
          <w:sz w:val="22"/>
        </w:rPr>
        <w:t>an au</w:t>
      </w:r>
      <w:r w:rsidRPr="003A7B15">
        <w:rPr>
          <w:rFonts w:asciiTheme="majorHAnsi" w:hAnsiTheme="majorHAnsi"/>
          <w:sz w:val="22"/>
        </w:rPr>
        <w:t xml:space="preserve">dience of </w:t>
      </w:r>
      <w:r w:rsidR="008819D7" w:rsidRPr="003A7B15">
        <w:rPr>
          <w:rFonts w:asciiTheme="majorHAnsi" w:hAnsiTheme="majorHAnsi"/>
          <w:sz w:val="22"/>
        </w:rPr>
        <w:t xml:space="preserve">a </w:t>
      </w:r>
      <w:r w:rsidRPr="003A7B15">
        <w:rPr>
          <w:rFonts w:asciiTheme="majorHAnsi" w:hAnsiTheme="majorHAnsi"/>
          <w:sz w:val="22"/>
        </w:rPr>
        <w:t xml:space="preserve">participating community including the governing board, administration and faculty. </w:t>
      </w:r>
    </w:p>
    <w:p w:rsidR="004E591F" w:rsidRPr="003A7B15" w:rsidRDefault="004E591F" w:rsidP="00DD09D8">
      <w:pPr>
        <w:widowControl w:val="0"/>
        <w:autoSpaceDE w:val="0"/>
        <w:autoSpaceDN w:val="0"/>
        <w:adjustRightInd w:val="0"/>
        <w:rPr>
          <w:rFonts w:asciiTheme="majorHAnsi" w:hAnsiTheme="majorHAnsi"/>
          <w:sz w:val="22"/>
        </w:rPr>
      </w:pPr>
    </w:p>
    <w:p w:rsidR="003A7B15" w:rsidRDefault="003A7B15" w:rsidP="004A22A5">
      <w:pPr>
        <w:rPr>
          <w:rFonts w:asciiTheme="majorHAnsi" w:hAnsiTheme="majorHAnsi"/>
          <w:i/>
          <w:sz w:val="22"/>
        </w:rPr>
      </w:pPr>
    </w:p>
    <w:p w:rsidR="004A22A5" w:rsidRPr="003A7B15" w:rsidRDefault="006952C5" w:rsidP="004A22A5">
      <w:pPr>
        <w:rPr>
          <w:rFonts w:asciiTheme="majorHAnsi" w:hAnsiTheme="majorHAnsi"/>
          <w:i/>
          <w:sz w:val="22"/>
        </w:rPr>
      </w:pPr>
      <w:r w:rsidRPr="003A7B15">
        <w:rPr>
          <w:rFonts w:asciiTheme="majorHAnsi" w:hAnsiTheme="majorHAnsi"/>
          <w:i/>
          <w:sz w:val="22"/>
        </w:rPr>
        <w:t>Role of Governing Board</w:t>
      </w:r>
    </w:p>
    <w:p w:rsidR="004A22A5" w:rsidRPr="003A7B15" w:rsidRDefault="006952C5" w:rsidP="004A22A5">
      <w:pPr>
        <w:rPr>
          <w:rFonts w:asciiTheme="majorHAnsi" w:hAnsiTheme="majorHAnsi"/>
          <w:sz w:val="22"/>
        </w:rPr>
      </w:pPr>
      <w:r w:rsidRPr="003A7B15">
        <w:rPr>
          <w:rFonts w:asciiTheme="majorHAnsi" w:hAnsiTheme="majorHAnsi"/>
          <w:sz w:val="22"/>
        </w:rPr>
        <w:t>The following are the primary responsibilities of the Board of Trustees:</w:t>
      </w:r>
    </w:p>
    <w:p w:rsidR="004A22A5" w:rsidRPr="003A7B15" w:rsidRDefault="006952C5" w:rsidP="004A22A5">
      <w:pPr>
        <w:rPr>
          <w:rFonts w:asciiTheme="majorHAnsi" w:hAnsiTheme="majorHAnsi"/>
          <w:sz w:val="22"/>
        </w:rPr>
      </w:pPr>
      <w:r w:rsidRPr="003A7B15">
        <w:rPr>
          <w:rFonts w:asciiTheme="majorHAnsi" w:hAnsiTheme="majorHAnsi"/>
          <w:sz w:val="22"/>
        </w:rPr>
        <w:t>Ultimately, the board holds the institution it serves in trust for the public that supports and depends on an effective, diverse, and competitive system of higher education.  This principle undergirds each of these 13 primary responsibilities:</w:t>
      </w:r>
    </w:p>
    <w:p w:rsidR="004A22A5" w:rsidRPr="003A7B15" w:rsidRDefault="004A22A5" w:rsidP="004A22A5">
      <w:pPr>
        <w:rPr>
          <w:rFonts w:asciiTheme="majorHAnsi" w:hAnsiTheme="majorHAnsi"/>
          <w:sz w:val="22"/>
        </w:rPr>
      </w:pPr>
    </w:p>
    <w:p w:rsidR="004A22A5" w:rsidRPr="003A7B15" w:rsidRDefault="006952C5" w:rsidP="004A22A5">
      <w:pPr>
        <w:rPr>
          <w:rFonts w:asciiTheme="majorHAnsi" w:hAnsiTheme="majorHAnsi"/>
          <w:sz w:val="22"/>
        </w:rPr>
      </w:pPr>
      <w:r w:rsidRPr="003A7B15">
        <w:rPr>
          <w:rFonts w:asciiTheme="majorHAnsi" w:hAnsiTheme="majorHAnsi"/>
          <w:sz w:val="22"/>
        </w:rPr>
        <w:t xml:space="preserve">  1.  Setting mission and purposes.</w:t>
      </w:r>
    </w:p>
    <w:p w:rsidR="004A22A5" w:rsidRPr="003A7B15" w:rsidRDefault="006952C5" w:rsidP="004A22A5">
      <w:pPr>
        <w:rPr>
          <w:rFonts w:asciiTheme="majorHAnsi" w:hAnsiTheme="majorHAnsi"/>
          <w:sz w:val="22"/>
        </w:rPr>
      </w:pPr>
      <w:r w:rsidRPr="003A7B15">
        <w:rPr>
          <w:rFonts w:asciiTheme="majorHAnsi" w:hAnsiTheme="majorHAnsi"/>
          <w:sz w:val="22"/>
        </w:rPr>
        <w:t xml:space="preserve">  2.  Appointing the president.</w:t>
      </w:r>
    </w:p>
    <w:p w:rsidR="004A22A5" w:rsidRPr="003A7B15" w:rsidRDefault="006952C5" w:rsidP="004A22A5">
      <w:pPr>
        <w:rPr>
          <w:rFonts w:asciiTheme="majorHAnsi" w:hAnsiTheme="majorHAnsi"/>
          <w:sz w:val="22"/>
        </w:rPr>
      </w:pPr>
      <w:r w:rsidRPr="003A7B15">
        <w:rPr>
          <w:rFonts w:asciiTheme="majorHAnsi" w:hAnsiTheme="majorHAnsi"/>
          <w:sz w:val="22"/>
        </w:rPr>
        <w:t xml:space="preserve">  3.  Supporting the president.</w:t>
      </w:r>
    </w:p>
    <w:p w:rsidR="004A22A5" w:rsidRPr="003A7B15" w:rsidRDefault="006952C5" w:rsidP="004A22A5">
      <w:pPr>
        <w:rPr>
          <w:rFonts w:asciiTheme="majorHAnsi" w:hAnsiTheme="majorHAnsi"/>
          <w:sz w:val="22"/>
        </w:rPr>
      </w:pPr>
      <w:r w:rsidRPr="003A7B15">
        <w:rPr>
          <w:rFonts w:asciiTheme="majorHAnsi" w:hAnsiTheme="majorHAnsi"/>
          <w:sz w:val="22"/>
        </w:rPr>
        <w:t xml:space="preserve">  4.  Monitoring the president’s performance.</w:t>
      </w:r>
    </w:p>
    <w:p w:rsidR="004A22A5" w:rsidRPr="003A7B15" w:rsidRDefault="006952C5" w:rsidP="004A22A5">
      <w:pPr>
        <w:rPr>
          <w:rFonts w:asciiTheme="majorHAnsi" w:hAnsiTheme="majorHAnsi"/>
          <w:sz w:val="22"/>
        </w:rPr>
      </w:pPr>
      <w:r w:rsidRPr="003A7B15">
        <w:rPr>
          <w:rFonts w:asciiTheme="majorHAnsi" w:hAnsiTheme="majorHAnsi"/>
          <w:sz w:val="22"/>
        </w:rPr>
        <w:t xml:space="preserve">  5.  Assessing board performance.</w:t>
      </w:r>
    </w:p>
    <w:p w:rsidR="004A22A5" w:rsidRPr="003A7B15" w:rsidRDefault="006952C5" w:rsidP="004A22A5">
      <w:pPr>
        <w:rPr>
          <w:rFonts w:asciiTheme="majorHAnsi" w:hAnsiTheme="majorHAnsi"/>
          <w:sz w:val="22"/>
        </w:rPr>
      </w:pPr>
      <w:r w:rsidRPr="003A7B15">
        <w:rPr>
          <w:rFonts w:asciiTheme="majorHAnsi" w:hAnsiTheme="majorHAnsi"/>
          <w:sz w:val="22"/>
        </w:rPr>
        <w:t xml:space="preserve">  6.  Insisting on strategic planning.</w:t>
      </w:r>
    </w:p>
    <w:p w:rsidR="004A22A5" w:rsidRPr="003A7B15" w:rsidRDefault="006952C5" w:rsidP="004A22A5">
      <w:pPr>
        <w:rPr>
          <w:rFonts w:asciiTheme="majorHAnsi" w:hAnsiTheme="majorHAnsi"/>
          <w:sz w:val="22"/>
        </w:rPr>
      </w:pPr>
      <w:r w:rsidRPr="003A7B15">
        <w:rPr>
          <w:rFonts w:asciiTheme="majorHAnsi" w:hAnsiTheme="majorHAnsi"/>
          <w:sz w:val="22"/>
        </w:rPr>
        <w:t xml:space="preserve">  7.  Reviewing educational and public service programs.</w:t>
      </w:r>
    </w:p>
    <w:p w:rsidR="004A22A5" w:rsidRPr="003A7B15" w:rsidRDefault="006952C5" w:rsidP="004A22A5">
      <w:pPr>
        <w:rPr>
          <w:rFonts w:asciiTheme="majorHAnsi" w:hAnsiTheme="majorHAnsi"/>
          <w:sz w:val="22"/>
        </w:rPr>
      </w:pPr>
      <w:r w:rsidRPr="003A7B15">
        <w:rPr>
          <w:rFonts w:asciiTheme="majorHAnsi" w:hAnsiTheme="majorHAnsi"/>
          <w:sz w:val="22"/>
        </w:rPr>
        <w:t xml:space="preserve">  8.  Ensuring adequate resources.</w:t>
      </w:r>
    </w:p>
    <w:p w:rsidR="004A22A5" w:rsidRPr="003A7B15" w:rsidRDefault="006952C5" w:rsidP="004A22A5">
      <w:pPr>
        <w:rPr>
          <w:rFonts w:asciiTheme="majorHAnsi" w:hAnsiTheme="majorHAnsi"/>
          <w:sz w:val="22"/>
        </w:rPr>
      </w:pPr>
      <w:r w:rsidRPr="003A7B15">
        <w:rPr>
          <w:rFonts w:asciiTheme="majorHAnsi" w:hAnsiTheme="majorHAnsi"/>
          <w:sz w:val="22"/>
        </w:rPr>
        <w:t xml:space="preserve">  9.  Ensuring good management.</w:t>
      </w:r>
    </w:p>
    <w:p w:rsidR="004A22A5" w:rsidRPr="003A7B15" w:rsidRDefault="006952C5" w:rsidP="004A22A5">
      <w:pPr>
        <w:rPr>
          <w:rFonts w:asciiTheme="majorHAnsi" w:hAnsiTheme="majorHAnsi"/>
          <w:sz w:val="22"/>
        </w:rPr>
      </w:pPr>
      <w:r w:rsidRPr="003A7B15">
        <w:rPr>
          <w:rFonts w:asciiTheme="majorHAnsi" w:hAnsiTheme="majorHAnsi"/>
          <w:sz w:val="22"/>
        </w:rPr>
        <w:t>10.  Preserving institutional independence.</w:t>
      </w:r>
    </w:p>
    <w:p w:rsidR="004A22A5" w:rsidRPr="003A7B15" w:rsidRDefault="006952C5" w:rsidP="004A22A5">
      <w:pPr>
        <w:rPr>
          <w:rFonts w:asciiTheme="majorHAnsi" w:hAnsiTheme="majorHAnsi"/>
          <w:sz w:val="22"/>
        </w:rPr>
      </w:pPr>
      <w:r w:rsidRPr="003A7B15">
        <w:rPr>
          <w:rFonts w:asciiTheme="majorHAnsi" w:hAnsiTheme="majorHAnsi"/>
          <w:sz w:val="22"/>
        </w:rPr>
        <w:t>11.  Relating campus to community and community to campus.</w:t>
      </w:r>
    </w:p>
    <w:p w:rsidR="004A22A5" w:rsidRPr="003A7B15" w:rsidRDefault="006952C5" w:rsidP="004A22A5">
      <w:pPr>
        <w:rPr>
          <w:rFonts w:asciiTheme="majorHAnsi" w:hAnsiTheme="majorHAnsi"/>
          <w:sz w:val="22"/>
        </w:rPr>
      </w:pPr>
      <w:r w:rsidRPr="003A7B15">
        <w:rPr>
          <w:rFonts w:asciiTheme="majorHAnsi" w:hAnsiTheme="majorHAnsi"/>
          <w:sz w:val="22"/>
        </w:rPr>
        <w:t>12.  Serving occasionally as a court of appeal.</w:t>
      </w:r>
    </w:p>
    <w:p w:rsidR="004A22A5" w:rsidRPr="003A7B15" w:rsidRDefault="004A22A5" w:rsidP="006079E2">
      <w:pPr>
        <w:rPr>
          <w:rFonts w:asciiTheme="majorHAnsi" w:hAnsiTheme="majorHAnsi"/>
          <w:sz w:val="22"/>
        </w:rPr>
      </w:pPr>
    </w:p>
    <w:p w:rsidR="004A22A5" w:rsidRPr="003A7B15" w:rsidRDefault="006952C5" w:rsidP="004A22A5">
      <w:pPr>
        <w:rPr>
          <w:rFonts w:asciiTheme="majorHAnsi" w:hAnsiTheme="majorHAnsi"/>
          <w:sz w:val="22"/>
        </w:rPr>
      </w:pPr>
      <w:r w:rsidRPr="003A7B15">
        <w:rPr>
          <w:rFonts w:asciiTheme="majorHAnsi" w:hAnsiTheme="majorHAnsi"/>
          <w:sz w:val="22"/>
        </w:rPr>
        <w:t xml:space="preserve">The board of trustees has legal authority over the University. It delegates this authority to the president, which is further delegated to members of the administration. </w:t>
      </w:r>
    </w:p>
    <w:p w:rsidR="004A22A5" w:rsidRPr="003A7B15" w:rsidRDefault="004A22A5" w:rsidP="004A22A5">
      <w:pPr>
        <w:rPr>
          <w:rFonts w:asciiTheme="majorHAnsi" w:hAnsiTheme="majorHAnsi"/>
          <w:sz w:val="22"/>
        </w:rPr>
      </w:pPr>
    </w:p>
    <w:p w:rsidR="004A22A5" w:rsidRPr="003A7B15" w:rsidRDefault="004A22A5" w:rsidP="006079E2">
      <w:pPr>
        <w:rPr>
          <w:rFonts w:asciiTheme="majorHAnsi" w:hAnsiTheme="majorHAnsi"/>
          <w:sz w:val="22"/>
        </w:rPr>
      </w:pPr>
    </w:p>
    <w:p w:rsidR="00F25BF8" w:rsidRPr="003A7B15" w:rsidRDefault="006952C5" w:rsidP="006079E2">
      <w:pPr>
        <w:rPr>
          <w:rFonts w:asciiTheme="majorHAnsi" w:hAnsiTheme="majorHAnsi"/>
          <w:i/>
          <w:sz w:val="22"/>
        </w:rPr>
      </w:pPr>
      <w:r w:rsidRPr="003A7B15">
        <w:rPr>
          <w:rFonts w:asciiTheme="majorHAnsi" w:hAnsiTheme="majorHAnsi"/>
          <w:i/>
          <w:sz w:val="22"/>
        </w:rPr>
        <w:t>Role of Administration</w:t>
      </w:r>
    </w:p>
    <w:p w:rsidR="004E591F" w:rsidRPr="003A7B15" w:rsidRDefault="006952C5" w:rsidP="004E591F">
      <w:pPr>
        <w:rPr>
          <w:rFonts w:asciiTheme="majorHAnsi" w:hAnsiTheme="majorHAnsi"/>
          <w:sz w:val="22"/>
        </w:rPr>
      </w:pPr>
      <w:r w:rsidRPr="003A7B15">
        <w:rPr>
          <w:rFonts w:asciiTheme="majorHAnsi" w:hAnsiTheme="majorHAnsi"/>
          <w:sz w:val="22"/>
        </w:rPr>
        <w:t xml:space="preserve">The administration is responsible for managing the University in accordance with directives issued by the president, which reflect the priorities, by-laws, and specific directives of the board of trustees. </w:t>
      </w:r>
    </w:p>
    <w:p w:rsidR="004E591F" w:rsidRPr="003A7B15" w:rsidRDefault="004E591F" w:rsidP="006079E2">
      <w:pPr>
        <w:rPr>
          <w:rFonts w:asciiTheme="majorHAnsi" w:hAnsiTheme="majorHAnsi"/>
          <w:sz w:val="22"/>
        </w:rPr>
      </w:pPr>
    </w:p>
    <w:p w:rsidR="006079E2" w:rsidRPr="003A7B15" w:rsidRDefault="006952C5" w:rsidP="006079E2">
      <w:pPr>
        <w:rPr>
          <w:rFonts w:asciiTheme="majorHAnsi" w:hAnsiTheme="majorHAnsi"/>
          <w:sz w:val="22"/>
        </w:rPr>
      </w:pPr>
      <w:r w:rsidRPr="003A7B15">
        <w:rPr>
          <w:rFonts w:asciiTheme="majorHAnsi" w:hAnsiTheme="majorHAnsi"/>
          <w:sz w:val="22"/>
        </w:rPr>
        <w:t>Shared governance requires that the administration further delegates to the faculty significant authority over academic matters</w:t>
      </w:r>
      <w:r w:rsidR="004E591F" w:rsidRPr="003A7B15">
        <w:rPr>
          <w:rFonts w:asciiTheme="majorHAnsi" w:hAnsiTheme="majorHAnsi"/>
          <w:sz w:val="22"/>
        </w:rPr>
        <w:t>.</w:t>
      </w:r>
      <w:r w:rsidRPr="003A7B15">
        <w:rPr>
          <w:rFonts w:asciiTheme="majorHAnsi" w:hAnsiTheme="majorHAnsi"/>
          <w:sz w:val="22"/>
        </w:rPr>
        <w:t xml:space="preserve"> </w:t>
      </w:r>
      <w:r w:rsidR="004E591F" w:rsidRPr="003A7B15">
        <w:rPr>
          <w:rFonts w:asciiTheme="majorHAnsi" w:hAnsiTheme="majorHAnsi"/>
          <w:sz w:val="22"/>
        </w:rPr>
        <w:t>S</w:t>
      </w:r>
      <w:r w:rsidRPr="003A7B15">
        <w:rPr>
          <w:rFonts w:asciiTheme="majorHAnsi" w:hAnsiTheme="majorHAnsi"/>
          <w:sz w:val="22"/>
        </w:rPr>
        <w:t>hared governance requires the administration to consult with the faculty on issues that clearly and directly affect them.</w:t>
      </w:r>
    </w:p>
    <w:p w:rsidR="003A7B15" w:rsidRDefault="003A7B15" w:rsidP="006079E2">
      <w:pPr>
        <w:rPr>
          <w:rFonts w:asciiTheme="majorHAnsi" w:hAnsiTheme="majorHAnsi"/>
          <w:sz w:val="22"/>
        </w:rPr>
      </w:pPr>
    </w:p>
    <w:p w:rsidR="006079E2" w:rsidRPr="003A7B15" w:rsidRDefault="006079E2" w:rsidP="006079E2">
      <w:pPr>
        <w:rPr>
          <w:rFonts w:asciiTheme="majorHAnsi" w:hAnsiTheme="majorHAnsi"/>
          <w:sz w:val="22"/>
        </w:rPr>
      </w:pPr>
    </w:p>
    <w:p w:rsidR="003A7B15" w:rsidRDefault="003A7B15" w:rsidP="006079E2">
      <w:pPr>
        <w:rPr>
          <w:rFonts w:asciiTheme="majorHAnsi" w:hAnsiTheme="majorHAnsi"/>
          <w:i/>
          <w:sz w:val="22"/>
        </w:rPr>
      </w:pPr>
    </w:p>
    <w:p w:rsidR="00F25BF8" w:rsidRPr="003A7B15" w:rsidRDefault="006952C5" w:rsidP="006079E2">
      <w:pPr>
        <w:rPr>
          <w:rFonts w:asciiTheme="majorHAnsi" w:hAnsiTheme="majorHAnsi"/>
          <w:i/>
          <w:sz w:val="22"/>
        </w:rPr>
      </w:pPr>
      <w:r w:rsidRPr="003A7B15">
        <w:rPr>
          <w:rFonts w:asciiTheme="majorHAnsi" w:hAnsiTheme="majorHAnsi"/>
          <w:i/>
          <w:sz w:val="22"/>
        </w:rPr>
        <w:t>Roles of Faculty</w:t>
      </w:r>
    </w:p>
    <w:p w:rsidR="00A74F9E" w:rsidRPr="003A7B15" w:rsidRDefault="006952C5" w:rsidP="006079E2">
      <w:pPr>
        <w:rPr>
          <w:rFonts w:asciiTheme="majorHAnsi" w:hAnsiTheme="majorHAnsi"/>
          <w:sz w:val="22"/>
        </w:rPr>
      </w:pPr>
      <w:r w:rsidRPr="003A7B15">
        <w:rPr>
          <w:rFonts w:asciiTheme="majorHAnsi" w:hAnsiTheme="majorHAnsi"/>
          <w:sz w:val="22"/>
        </w:rPr>
        <w:t>Faculty have primary responsibility in the following areas:</w:t>
      </w:r>
    </w:p>
    <w:p w:rsidR="00772E2B" w:rsidRPr="003A7B15" w:rsidRDefault="006952C5">
      <w:pPr>
        <w:pStyle w:val="ListParagraph"/>
        <w:numPr>
          <w:ilvl w:val="0"/>
          <w:numId w:val="5"/>
        </w:numPr>
        <w:rPr>
          <w:rFonts w:asciiTheme="majorHAnsi" w:hAnsiTheme="majorHAnsi"/>
          <w:sz w:val="22"/>
        </w:rPr>
      </w:pPr>
      <w:r w:rsidRPr="003A7B15">
        <w:rPr>
          <w:rFonts w:asciiTheme="majorHAnsi" w:hAnsiTheme="majorHAnsi"/>
          <w:sz w:val="22"/>
        </w:rPr>
        <w:t>Curriculum,</w:t>
      </w:r>
    </w:p>
    <w:p w:rsidR="00772E2B" w:rsidRPr="003A7B15" w:rsidRDefault="006952C5">
      <w:pPr>
        <w:pStyle w:val="ListParagraph"/>
        <w:numPr>
          <w:ilvl w:val="0"/>
          <w:numId w:val="5"/>
        </w:numPr>
        <w:rPr>
          <w:rFonts w:asciiTheme="majorHAnsi" w:hAnsiTheme="majorHAnsi"/>
          <w:sz w:val="22"/>
        </w:rPr>
      </w:pPr>
      <w:r w:rsidRPr="003A7B15">
        <w:rPr>
          <w:rFonts w:asciiTheme="majorHAnsi" w:hAnsiTheme="majorHAnsi"/>
          <w:sz w:val="22"/>
        </w:rPr>
        <w:t>Subject matter,</w:t>
      </w:r>
    </w:p>
    <w:p w:rsidR="00772E2B" w:rsidRPr="003A7B15" w:rsidRDefault="006952C5">
      <w:pPr>
        <w:pStyle w:val="ListParagraph"/>
        <w:numPr>
          <w:ilvl w:val="0"/>
          <w:numId w:val="5"/>
        </w:numPr>
        <w:rPr>
          <w:rFonts w:asciiTheme="majorHAnsi" w:hAnsiTheme="majorHAnsi"/>
          <w:sz w:val="22"/>
        </w:rPr>
      </w:pPr>
      <w:r w:rsidRPr="003A7B15">
        <w:rPr>
          <w:rFonts w:asciiTheme="majorHAnsi" w:hAnsiTheme="majorHAnsi"/>
          <w:sz w:val="22"/>
        </w:rPr>
        <w:t>Methods of instruction,</w:t>
      </w:r>
    </w:p>
    <w:p w:rsidR="00772E2B" w:rsidRPr="003A7B15" w:rsidRDefault="006952C5">
      <w:pPr>
        <w:pStyle w:val="ListParagraph"/>
        <w:numPr>
          <w:ilvl w:val="0"/>
          <w:numId w:val="5"/>
        </w:numPr>
        <w:rPr>
          <w:rFonts w:asciiTheme="majorHAnsi" w:hAnsiTheme="majorHAnsi"/>
          <w:sz w:val="22"/>
        </w:rPr>
      </w:pPr>
      <w:r w:rsidRPr="003A7B15">
        <w:rPr>
          <w:rFonts w:asciiTheme="majorHAnsi" w:hAnsiTheme="majorHAnsi"/>
          <w:sz w:val="22"/>
        </w:rPr>
        <w:t>Research,</w:t>
      </w:r>
    </w:p>
    <w:p w:rsidR="004A22A5" w:rsidRPr="003A7B15" w:rsidRDefault="006952C5" w:rsidP="00A74F9E">
      <w:pPr>
        <w:pStyle w:val="ListParagraph"/>
        <w:numPr>
          <w:ilvl w:val="0"/>
          <w:numId w:val="5"/>
        </w:numPr>
        <w:rPr>
          <w:rFonts w:asciiTheme="majorHAnsi" w:hAnsiTheme="majorHAnsi"/>
          <w:sz w:val="22"/>
        </w:rPr>
      </w:pPr>
      <w:r w:rsidRPr="003A7B15">
        <w:rPr>
          <w:rFonts w:asciiTheme="majorHAnsi" w:hAnsiTheme="majorHAnsi"/>
          <w:sz w:val="22"/>
        </w:rPr>
        <w:t xml:space="preserve">Faculty status, </w:t>
      </w:r>
    </w:p>
    <w:p w:rsidR="00772E2B" w:rsidRPr="003A7B15" w:rsidRDefault="006952C5">
      <w:pPr>
        <w:pStyle w:val="ListParagraph"/>
        <w:numPr>
          <w:ilvl w:val="0"/>
          <w:numId w:val="5"/>
        </w:numPr>
        <w:rPr>
          <w:rFonts w:asciiTheme="majorHAnsi" w:hAnsiTheme="majorHAnsi"/>
          <w:sz w:val="22"/>
        </w:rPr>
      </w:pPr>
      <w:r w:rsidRPr="003A7B15">
        <w:rPr>
          <w:rFonts w:asciiTheme="majorHAnsi" w:hAnsiTheme="majorHAnsi"/>
          <w:sz w:val="22"/>
        </w:rPr>
        <w:t xml:space="preserve">Academic scholarships (?), and </w:t>
      </w:r>
    </w:p>
    <w:p w:rsidR="00772E2B" w:rsidRPr="003A7B15" w:rsidRDefault="00A74F9E">
      <w:pPr>
        <w:pStyle w:val="ListParagraph"/>
        <w:numPr>
          <w:ilvl w:val="0"/>
          <w:numId w:val="5"/>
        </w:numPr>
        <w:rPr>
          <w:rFonts w:asciiTheme="majorHAnsi" w:hAnsiTheme="majorHAnsi"/>
          <w:sz w:val="22"/>
        </w:rPr>
      </w:pPr>
      <w:r w:rsidRPr="003A7B15">
        <w:rPr>
          <w:rFonts w:asciiTheme="majorHAnsi" w:hAnsiTheme="majorHAnsi"/>
          <w:sz w:val="22"/>
        </w:rPr>
        <w:t xml:space="preserve">Those aspects of student life that relate to the educational process. </w:t>
      </w:r>
    </w:p>
    <w:p w:rsidR="00577EC8" w:rsidRPr="003A7B15" w:rsidRDefault="00577EC8" w:rsidP="00DD09D8">
      <w:pPr>
        <w:widowControl w:val="0"/>
        <w:autoSpaceDE w:val="0"/>
        <w:autoSpaceDN w:val="0"/>
        <w:adjustRightInd w:val="0"/>
        <w:rPr>
          <w:rFonts w:ascii="Calibri" w:hAnsi="Calibri" w:cs="Calibri"/>
          <w:i/>
          <w:sz w:val="22"/>
          <w:szCs w:val="32"/>
        </w:rPr>
      </w:pPr>
    </w:p>
    <w:p w:rsidR="00DD09D8" w:rsidRPr="003A7B15" w:rsidRDefault="006952C5" w:rsidP="00DD09D8">
      <w:pPr>
        <w:widowControl w:val="0"/>
        <w:autoSpaceDE w:val="0"/>
        <w:autoSpaceDN w:val="0"/>
        <w:adjustRightInd w:val="0"/>
        <w:rPr>
          <w:rFonts w:ascii="Calibri" w:hAnsi="Calibri" w:cs="Calibri"/>
          <w:i/>
          <w:sz w:val="22"/>
          <w:szCs w:val="32"/>
        </w:rPr>
      </w:pPr>
      <w:r w:rsidRPr="003A7B15">
        <w:rPr>
          <w:rFonts w:ascii="Calibri" w:hAnsi="Calibri" w:cs="Calibri"/>
          <w:i/>
          <w:sz w:val="22"/>
          <w:szCs w:val="32"/>
        </w:rPr>
        <w:t>Shared Governance at Philadelphia University shall:</w:t>
      </w:r>
    </w:p>
    <w:p w:rsidR="00DD09D8" w:rsidRPr="003A7B15" w:rsidRDefault="00DD09D8" w:rsidP="00DD09D8">
      <w:pPr>
        <w:widowControl w:val="0"/>
        <w:autoSpaceDE w:val="0"/>
        <w:autoSpaceDN w:val="0"/>
        <w:adjustRightInd w:val="0"/>
        <w:rPr>
          <w:rFonts w:ascii="Calibri" w:hAnsi="Calibri" w:cs="Calibri"/>
          <w:sz w:val="22"/>
          <w:szCs w:val="32"/>
        </w:rPr>
      </w:pPr>
      <w:r w:rsidRPr="003A7B15">
        <w:rPr>
          <w:rFonts w:ascii="Calibri" w:hAnsi="Calibri" w:cs="Calibri"/>
          <w:sz w:val="22"/>
          <w:szCs w:val="32"/>
        </w:rPr>
        <w:tab/>
      </w:r>
    </w:p>
    <w:p w:rsidR="00CB3F00" w:rsidRPr="003A7B15" w:rsidRDefault="00461754" w:rsidP="0060645E">
      <w:pPr>
        <w:pStyle w:val="ListParagraph"/>
        <w:widowControl w:val="0"/>
        <w:numPr>
          <w:ilvl w:val="0"/>
          <w:numId w:val="4"/>
        </w:numPr>
        <w:autoSpaceDE w:val="0"/>
        <w:autoSpaceDN w:val="0"/>
        <w:adjustRightInd w:val="0"/>
        <w:rPr>
          <w:rFonts w:ascii="Calibri" w:hAnsi="Calibri" w:cs="Calibri"/>
          <w:sz w:val="22"/>
          <w:szCs w:val="32"/>
        </w:rPr>
      </w:pPr>
      <w:r w:rsidRPr="003A7B15">
        <w:rPr>
          <w:rFonts w:ascii="Calibri" w:hAnsi="Calibri" w:cs="Calibri"/>
          <w:b/>
          <w:sz w:val="22"/>
          <w:szCs w:val="32"/>
        </w:rPr>
        <w:t>Collaboration among stakeholders</w:t>
      </w:r>
      <w:r w:rsidRPr="003A7B15">
        <w:rPr>
          <w:rFonts w:ascii="Calibri" w:hAnsi="Calibri" w:cs="Calibri"/>
          <w:b/>
          <w:sz w:val="22"/>
          <w:szCs w:val="32"/>
        </w:rPr>
        <w:br/>
      </w:r>
      <w:r w:rsidR="00CB3F00" w:rsidRPr="003A7B15">
        <w:rPr>
          <w:rFonts w:ascii="Calibri" w:hAnsi="Calibri" w:cs="Calibri"/>
          <w:sz w:val="22"/>
          <w:szCs w:val="32"/>
        </w:rPr>
        <w:t xml:space="preserve">Provide the </w:t>
      </w:r>
      <w:r w:rsidR="00397AB5" w:rsidRPr="003A7B15">
        <w:rPr>
          <w:rFonts w:ascii="Calibri" w:hAnsi="Calibri" w:cs="Calibri"/>
          <w:sz w:val="22"/>
          <w:szCs w:val="32"/>
        </w:rPr>
        <w:t>primary</w:t>
      </w:r>
      <w:r w:rsidR="00CB3F00" w:rsidRPr="003A7B15">
        <w:rPr>
          <w:rFonts w:ascii="Calibri" w:hAnsi="Calibri" w:cs="Calibri"/>
          <w:sz w:val="22"/>
          <w:szCs w:val="32"/>
        </w:rPr>
        <w:t xml:space="preserve"> vehicle for shared decision-making among </w:t>
      </w:r>
      <w:r w:rsidR="00397AB5" w:rsidRPr="003A7B15">
        <w:rPr>
          <w:rFonts w:ascii="Calibri" w:hAnsi="Calibri" w:cs="Calibri"/>
          <w:sz w:val="22"/>
          <w:szCs w:val="32"/>
        </w:rPr>
        <w:t>faculty</w:t>
      </w:r>
      <w:r w:rsidR="002D5282" w:rsidRPr="003A7B15">
        <w:rPr>
          <w:rFonts w:ascii="Calibri" w:hAnsi="Calibri" w:cs="Calibri"/>
          <w:sz w:val="22"/>
          <w:szCs w:val="32"/>
        </w:rPr>
        <w:t>, administrators</w:t>
      </w:r>
      <w:r w:rsidR="00684B46" w:rsidRPr="003A7B15">
        <w:rPr>
          <w:rFonts w:ascii="Calibri" w:hAnsi="Calibri" w:cs="Calibri"/>
          <w:sz w:val="22"/>
          <w:szCs w:val="32"/>
        </w:rPr>
        <w:t xml:space="preserve"> and</w:t>
      </w:r>
      <w:r w:rsidR="002D5282" w:rsidRPr="003A7B15">
        <w:rPr>
          <w:rFonts w:ascii="Calibri" w:hAnsi="Calibri" w:cs="Calibri"/>
          <w:sz w:val="22"/>
          <w:szCs w:val="32"/>
        </w:rPr>
        <w:t xml:space="preserve"> students</w:t>
      </w:r>
      <w:r w:rsidR="00CB3F00" w:rsidRPr="003A7B15">
        <w:rPr>
          <w:rFonts w:ascii="Calibri" w:hAnsi="Calibri" w:cs="Calibri"/>
          <w:sz w:val="22"/>
          <w:szCs w:val="32"/>
        </w:rPr>
        <w:t xml:space="preserve"> to implement the mission </w:t>
      </w:r>
      <w:r w:rsidR="00684B46" w:rsidRPr="003A7B15">
        <w:rPr>
          <w:rFonts w:ascii="Calibri" w:hAnsi="Calibri" w:cs="Calibri"/>
          <w:sz w:val="22"/>
          <w:szCs w:val="32"/>
        </w:rPr>
        <w:t xml:space="preserve">and the Strategic Plan </w:t>
      </w:r>
      <w:r w:rsidR="00CB3F00" w:rsidRPr="003A7B15">
        <w:rPr>
          <w:rFonts w:ascii="Calibri" w:hAnsi="Calibri" w:cs="Calibri"/>
          <w:sz w:val="22"/>
          <w:szCs w:val="32"/>
        </w:rPr>
        <w:t xml:space="preserve">of the University. </w:t>
      </w:r>
    </w:p>
    <w:p w:rsidR="00C57D24" w:rsidRPr="003A7B15" w:rsidRDefault="00C57D24">
      <w:pPr>
        <w:pStyle w:val="ListParagraph"/>
        <w:widowControl w:val="0"/>
        <w:autoSpaceDE w:val="0"/>
        <w:autoSpaceDN w:val="0"/>
        <w:adjustRightInd w:val="0"/>
        <w:ind w:left="360"/>
        <w:rPr>
          <w:rFonts w:ascii="Calibri" w:hAnsi="Calibri" w:cs="Calibri"/>
          <w:sz w:val="22"/>
          <w:szCs w:val="32"/>
        </w:rPr>
      </w:pPr>
    </w:p>
    <w:p w:rsidR="00C57D24" w:rsidRPr="003A7B15" w:rsidRDefault="00461754">
      <w:pPr>
        <w:pStyle w:val="ListParagraph"/>
        <w:widowControl w:val="0"/>
        <w:numPr>
          <w:ilvl w:val="0"/>
          <w:numId w:val="4"/>
        </w:numPr>
        <w:autoSpaceDE w:val="0"/>
        <w:autoSpaceDN w:val="0"/>
        <w:adjustRightInd w:val="0"/>
        <w:rPr>
          <w:rFonts w:ascii="Calibri" w:hAnsi="Calibri" w:cs="Calibri"/>
          <w:b/>
          <w:sz w:val="22"/>
          <w:szCs w:val="32"/>
        </w:rPr>
      </w:pPr>
      <w:r w:rsidRPr="003A7B15">
        <w:rPr>
          <w:rFonts w:asciiTheme="majorHAnsi" w:hAnsiTheme="majorHAnsi" w:cs="Calibri"/>
          <w:b/>
          <w:sz w:val="22"/>
          <w:szCs w:val="32"/>
        </w:rPr>
        <w:t>Responsible Decision-Making</w:t>
      </w:r>
      <w:r w:rsidR="00684B46" w:rsidRPr="003A7B15">
        <w:rPr>
          <w:rFonts w:asciiTheme="majorHAnsi" w:hAnsiTheme="majorHAnsi" w:cs="Calibri"/>
          <w:sz w:val="22"/>
          <w:szCs w:val="32"/>
        </w:rPr>
        <w:br/>
      </w:r>
      <w:r w:rsidRPr="003A7B15">
        <w:rPr>
          <w:rFonts w:asciiTheme="majorHAnsi" w:hAnsiTheme="majorHAnsi" w:cs="Calibri"/>
          <w:sz w:val="22"/>
          <w:szCs w:val="32"/>
        </w:rPr>
        <w:t>Accord the faculty primary responsibility for the e</w:t>
      </w:r>
      <w:r w:rsidRPr="003A7B15">
        <w:rPr>
          <w:rFonts w:asciiTheme="majorHAnsi" w:hAnsiTheme="majorHAnsi"/>
          <w:sz w:val="22"/>
        </w:rPr>
        <w:t>ducational and scholarly dimensions of the University</w:t>
      </w:r>
      <w:r w:rsidRPr="003A7B15">
        <w:rPr>
          <w:rFonts w:asciiTheme="majorHAnsi" w:hAnsiTheme="majorHAnsi" w:cs="Calibri"/>
          <w:sz w:val="22"/>
          <w:szCs w:val="32"/>
        </w:rPr>
        <w:t xml:space="preserve"> while allocating responsibilities appropriately to the administrative offices and faculty committees</w:t>
      </w:r>
      <w:r w:rsidRPr="003A7B15">
        <w:rPr>
          <w:rFonts w:asciiTheme="majorHAnsi" w:hAnsiTheme="majorHAnsi"/>
          <w:sz w:val="22"/>
        </w:rPr>
        <w:t xml:space="preserve">. </w:t>
      </w:r>
    </w:p>
    <w:p w:rsidR="00C57D24" w:rsidRPr="003A7B15" w:rsidRDefault="00C57D24">
      <w:pPr>
        <w:widowControl w:val="0"/>
        <w:autoSpaceDE w:val="0"/>
        <w:autoSpaceDN w:val="0"/>
        <w:adjustRightInd w:val="0"/>
        <w:rPr>
          <w:rFonts w:ascii="Calibri" w:hAnsi="Calibri" w:cs="Calibri"/>
          <w:b/>
          <w:sz w:val="22"/>
          <w:szCs w:val="32"/>
        </w:rPr>
      </w:pPr>
    </w:p>
    <w:p w:rsidR="00772E2B" w:rsidRPr="003A7B15" w:rsidRDefault="006952C5">
      <w:pPr>
        <w:pStyle w:val="ListParagraph"/>
        <w:widowControl w:val="0"/>
        <w:numPr>
          <w:ilvl w:val="0"/>
          <w:numId w:val="4"/>
        </w:numPr>
        <w:autoSpaceDE w:val="0"/>
        <w:autoSpaceDN w:val="0"/>
        <w:adjustRightInd w:val="0"/>
        <w:rPr>
          <w:rFonts w:ascii="Calibri" w:hAnsi="Calibri" w:cs="Calibri"/>
          <w:sz w:val="22"/>
          <w:szCs w:val="32"/>
        </w:rPr>
      </w:pPr>
      <w:r w:rsidRPr="003A7B15">
        <w:rPr>
          <w:rFonts w:ascii="Calibri" w:hAnsi="Calibri" w:cs="Calibri"/>
          <w:b/>
          <w:sz w:val="22"/>
          <w:szCs w:val="32"/>
        </w:rPr>
        <w:t xml:space="preserve">Consultation and Dialog </w:t>
      </w:r>
      <w:r w:rsidRPr="003A7B15">
        <w:rPr>
          <w:rFonts w:ascii="Calibri" w:hAnsi="Calibri" w:cs="Calibri"/>
          <w:b/>
          <w:sz w:val="22"/>
          <w:szCs w:val="32"/>
        </w:rPr>
        <w:br/>
      </w:r>
      <w:r w:rsidRPr="003A7B15">
        <w:rPr>
          <w:rFonts w:ascii="Calibri" w:hAnsi="Calibri" w:cs="Calibri"/>
          <w:sz w:val="22"/>
          <w:szCs w:val="32"/>
        </w:rPr>
        <w:t xml:space="preserve">Provide opportunities for </w:t>
      </w:r>
      <w:r w:rsidR="00461754" w:rsidRPr="003A7B15">
        <w:rPr>
          <w:rFonts w:ascii="Calibri" w:hAnsi="Calibri" w:cs="Calibri"/>
          <w:sz w:val="22"/>
          <w:szCs w:val="32"/>
        </w:rPr>
        <w:t>regular and meaningful</w:t>
      </w:r>
      <w:r w:rsidRPr="003A7B15">
        <w:rPr>
          <w:rFonts w:ascii="Calibri" w:hAnsi="Calibri" w:cs="Calibri"/>
          <w:sz w:val="22"/>
          <w:szCs w:val="32"/>
        </w:rPr>
        <w:t xml:space="preserve"> faculty consultation and dialog with the governing board. </w:t>
      </w:r>
    </w:p>
    <w:p w:rsidR="00CB3F00" w:rsidRPr="003A7B15" w:rsidRDefault="00CB3F00" w:rsidP="00DD09D8">
      <w:pPr>
        <w:widowControl w:val="0"/>
        <w:autoSpaceDE w:val="0"/>
        <w:autoSpaceDN w:val="0"/>
        <w:adjustRightInd w:val="0"/>
        <w:rPr>
          <w:rFonts w:ascii="Calibri" w:hAnsi="Calibri" w:cs="Calibri"/>
          <w:sz w:val="22"/>
          <w:szCs w:val="32"/>
        </w:rPr>
      </w:pPr>
    </w:p>
    <w:p w:rsidR="00DD09D8" w:rsidRPr="003A7B15" w:rsidRDefault="00461754" w:rsidP="0060645E">
      <w:pPr>
        <w:pStyle w:val="ListParagraph"/>
        <w:widowControl w:val="0"/>
        <w:numPr>
          <w:ilvl w:val="0"/>
          <w:numId w:val="4"/>
        </w:numPr>
        <w:autoSpaceDE w:val="0"/>
        <w:autoSpaceDN w:val="0"/>
        <w:adjustRightInd w:val="0"/>
        <w:rPr>
          <w:rFonts w:ascii="Calibri" w:hAnsi="Calibri" w:cs="Calibri"/>
          <w:sz w:val="22"/>
          <w:szCs w:val="32"/>
        </w:rPr>
      </w:pPr>
      <w:r w:rsidRPr="003A7B15">
        <w:rPr>
          <w:rFonts w:ascii="Calibri" w:hAnsi="Calibri" w:cs="Calibri"/>
          <w:b/>
          <w:sz w:val="22"/>
          <w:szCs w:val="32"/>
        </w:rPr>
        <w:t xml:space="preserve">Effectiveness and Efficiency </w:t>
      </w:r>
      <w:r w:rsidRPr="003A7B15">
        <w:rPr>
          <w:rFonts w:ascii="Calibri" w:hAnsi="Calibri" w:cs="Calibri"/>
          <w:b/>
          <w:sz w:val="22"/>
          <w:szCs w:val="32"/>
        </w:rPr>
        <w:br/>
      </w:r>
      <w:r w:rsidR="00DD09D8" w:rsidRPr="003A7B15">
        <w:rPr>
          <w:rFonts w:ascii="Calibri" w:hAnsi="Calibri" w:cs="Calibri"/>
          <w:sz w:val="22"/>
          <w:szCs w:val="32"/>
        </w:rPr>
        <w:t>Balance efficiency and effectiveness through a logical and reasonable distribution of work, professional and mutually respectful deliberations, and timely decision-making and implementation</w:t>
      </w:r>
      <w:r w:rsidR="00684B46" w:rsidRPr="003A7B15">
        <w:rPr>
          <w:rFonts w:ascii="Calibri" w:hAnsi="Calibri" w:cs="Calibri"/>
          <w:sz w:val="22"/>
          <w:szCs w:val="32"/>
        </w:rPr>
        <w:t>.</w:t>
      </w:r>
    </w:p>
    <w:p w:rsidR="00DD09D8" w:rsidRPr="003A7B15" w:rsidRDefault="00DD09D8" w:rsidP="00DD09D8">
      <w:pPr>
        <w:widowControl w:val="0"/>
        <w:autoSpaceDE w:val="0"/>
        <w:autoSpaceDN w:val="0"/>
        <w:adjustRightInd w:val="0"/>
        <w:rPr>
          <w:rFonts w:ascii="Calibri" w:hAnsi="Calibri" w:cs="Calibri"/>
          <w:sz w:val="22"/>
          <w:szCs w:val="32"/>
        </w:rPr>
      </w:pPr>
    </w:p>
    <w:p w:rsidR="00DD09D8" w:rsidRPr="003A7B15" w:rsidRDefault="00461754" w:rsidP="0060645E">
      <w:pPr>
        <w:pStyle w:val="ListParagraph"/>
        <w:widowControl w:val="0"/>
        <w:numPr>
          <w:ilvl w:val="0"/>
          <w:numId w:val="4"/>
        </w:numPr>
        <w:autoSpaceDE w:val="0"/>
        <w:autoSpaceDN w:val="0"/>
        <w:adjustRightInd w:val="0"/>
        <w:rPr>
          <w:rFonts w:ascii="Calibri" w:hAnsi="Calibri" w:cs="Calibri"/>
          <w:sz w:val="22"/>
          <w:szCs w:val="32"/>
        </w:rPr>
      </w:pPr>
      <w:r w:rsidRPr="003A7B15">
        <w:rPr>
          <w:rFonts w:ascii="Calibri" w:hAnsi="Calibri" w:cs="Calibri"/>
          <w:b/>
          <w:sz w:val="22"/>
          <w:szCs w:val="32"/>
        </w:rPr>
        <w:t>Transparency</w:t>
      </w:r>
      <w:r w:rsidRPr="003A7B15">
        <w:rPr>
          <w:rFonts w:asciiTheme="majorHAnsi" w:hAnsiTheme="majorHAnsi"/>
          <w:b/>
          <w:sz w:val="22"/>
        </w:rPr>
        <w:t xml:space="preserve"> </w:t>
      </w:r>
      <w:r w:rsidRPr="003A7B15">
        <w:rPr>
          <w:rFonts w:asciiTheme="majorHAnsi" w:hAnsiTheme="majorHAnsi"/>
          <w:b/>
          <w:sz w:val="22"/>
        </w:rPr>
        <w:br/>
      </w:r>
      <w:r w:rsidR="00DD09D8" w:rsidRPr="003A7B15">
        <w:rPr>
          <w:rFonts w:asciiTheme="majorHAnsi" w:hAnsiTheme="majorHAnsi"/>
          <w:sz w:val="22"/>
        </w:rPr>
        <w:t xml:space="preserve">Function in a manner that is transparent to the University community. The logic organizing distribution of work and the practice of decision-making and implementation should be consistent, rational, and understandable by the university community. </w:t>
      </w:r>
    </w:p>
    <w:p w:rsidR="00DD09D8" w:rsidRPr="003A7B15" w:rsidRDefault="00DD09D8" w:rsidP="00DD09D8">
      <w:pPr>
        <w:widowControl w:val="0"/>
        <w:autoSpaceDE w:val="0"/>
        <w:autoSpaceDN w:val="0"/>
        <w:adjustRightInd w:val="0"/>
        <w:rPr>
          <w:rFonts w:ascii="Calibri" w:hAnsi="Calibri" w:cs="Calibri"/>
          <w:sz w:val="22"/>
          <w:szCs w:val="32"/>
        </w:rPr>
      </w:pPr>
    </w:p>
    <w:p w:rsidR="00CB3F00" w:rsidRPr="003A7B15" w:rsidRDefault="00461754" w:rsidP="0060645E">
      <w:pPr>
        <w:pStyle w:val="ListParagraph"/>
        <w:numPr>
          <w:ilvl w:val="0"/>
          <w:numId w:val="4"/>
        </w:numPr>
        <w:rPr>
          <w:rFonts w:asciiTheme="majorHAnsi" w:hAnsiTheme="majorHAnsi"/>
          <w:color w:val="000000" w:themeColor="text1"/>
          <w:sz w:val="22"/>
        </w:rPr>
      </w:pPr>
      <w:r w:rsidRPr="003A7B15">
        <w:rPr>
          <w:rFonts w:asciiTheme="majorHAnsi" w:hAnsiTheme="majorHAnsi"/>
          <w:b/>
          <w:color w:val="000000" w:themeColor="text1"/>
          <w:sz w:val="22"/>
        </w:rPr>
        <w:t>Participation and Representation</w:t>
      </w:r>
      <w:r w:rsidRPr="003A7B15">
        <w:rPr>
          <w:rFonts w:asciiTheme="majorHAnsi" w:hAnsiTheme="majorHAnsi"/>
          <w:b/>
          <w:color w:val="000000" w:themeColor="text1"/>
          <w:sz w:val="22"/>
        </w:rPr>
        <w:br/>
      </w:r>
      <w:r w:rsidR="00B71FB1" w:rsidRPr="003A7B15">
        <w:rPr>
          <w:rFonts w:asciiTheme="majorHAnsi" w:hAnsiTheme="majorHAnsi"/>
          <w:color w:val="000000" w:themeColor="text1"/>
          <w:sz w:val="22"/>
        </w:rPr>
        <w:t>Be d</w:t>
      </w:r>
      <w:r w:rsidR="00DD09D8" w:rsidRPr="003A7B15">
        <w:rPr>
          <w:rFonts w:asciiTheme="majorHAnsi" w:hAnsiTheme="majorHAnsi"/>
          <w:color w:val="000000" w:themeColor="text1"/>
          <w:sz w:val="22"/>
        </w:rPr>
        <w:t>riven by</w:t>
      </w:r>
      <w:r w:rsidR="00372A61" w:rsidRPr="003A7B15">
        <w:rPr>
          <w:rFonts w:asciiTheme="majorHAnsi" w:hAnsiTheme="majorHAnsi"/>
          <w:color w:val="000000" w:themeColor="text1"/>
          <w:sz w:val="22"/>
        </w:rPr>
        <w:t xml:space="preserve"> active and effectual </w:t>
      </w:r>
      <w:r w:rsidR="00DD09D8" w:rsidRPr="003A7B15">
        <w:rPr>
          <w:rFonts w:asciiTheme="majorHAnsi" w:hAnsiTheme="majorHAnsi"/>
          <w:color w:val="000000" w:themeColor="text1"/>
          <w:sz w:val="22"/>
        </w:rPr>
        <w:t xml:space="preserve">participation by faculty and offer ample opportunities for broad representation of the </w:t>
      </w:r>
      <w:r w:rsidR="00753BC5" w:rsidRPr="003A7B15">
        <w:rPr>
          <w:rFonts w:asciiTheme="majorHAnsi" w:hAnsiTheme="majorHAnsi"/>
          <w:color w:val="000000" w:themeColor="text1"/>
          <w:sz w:val="22"/>
        </w:rPr>
        <w:t>diverse points of view</w:t>
      </w:r>
      <w:r w:rsidR="00DD09D8" w:rsidRPr="003A7B15">
        <w:rPr>
          <w:rFonts w:asciiTheme="majorHAnsi" w:hAnsiTheme="majorHAnsi"/>
          <w:color w:val="000000" w:themeColor="text1"/>
          <w:sz w:val="22"/>
        </w:rPr>
        <w:t xml:space="preserve"> </w:t>
      </w:r>
      <w:r w:rsidR="00753BC5" w:rsidRPr="003A7B15">
        <w:rPr>
          <w:rFonts w:asciiTheme="majorHAnsi" w:hAnsiTheme="majorHAnsi"/>
          <w:color w:val="000000" w:themeColor="text1"/>
          <w:sz w:val="22"/>
        </w:rPr>
        <w:t xml:space="preserve">that constitute the faculty, </w:t>
      </w:r>
      <w:r w:rsidR="00DD09D8" w:rsidRPr="003A7B15">
        <w:rPr>
          <w:rFonts w:asciiTheme="majorHAnsi" w:hAnsiTheme="majorHAnsi"/>
          <w:color w:val="000000" w:themeColor="text1"/>
          <w:sz w:val="22"/>
        </w:rPr>
        <w:t>administration</w:t>
      </w:r>
      <w:r w:rsidR="00753BC5" w:rsidRPr="003A7B15">
        <w:rPr>
          <w:rFonts w:asciiTheme="majorHAnsi" w:hAnsiTheme="majorHAnsi"/>
          <w:color w:val="000000" w:themeColor="text1"/>
          <w:sz w:val="22"/>
        </w:rPr>
        <w:t>, and students</w:t>
      </w:r>
      <w:r w:rsidR="00DD09D8" w:rsidRPr="003A7B15">
        <w:rPr>
          <w:rFonts w:asciiTheme="majorHAnsi" w:hAnsiTheme="majorHAnsi"/>
          <w:color w:val="000000" w:themeColor="text1"/>
          <w:sz w:val="22"/>
        </w:rPr>
        <w:t xml:space="preserve">. </w:t>
      </w:r>
    </w:p>
    <w:p w:rsidR="00CB3F00" w:rsidRPr="003A7B15" w:rsidRDefault="00CB3F00" w:rsidP="00CB3F00">
      <w:pPr>
        <w:widowControl w:val="0"/>
        <w:autoSpaceDE w:val="0"/>
        <w:autoSpaceDN w:val="0"/>
        <w:adjustRightInd w:val="0"/>
        <w:rPr>
          <w:rFonts w:asciiTheme="majorHAnsi" w:hAnsiTheme="majorHAnsi"/>
          <w:sz w:val="22"/>
        </w:rPr>
      </w:pPr>
    </w:p>
    <w:p w:rsidR="00753BC5" w:rsidRPr="003A7B15" w:rsidRDefault="00461754" w:rsidP="0060645E">
      <w:pPr>
        <w:pStyle w:val="ListParagraph"/>
        <w:widowControl w:val="0"/>
        <w:numPr>
          <w:ilvl w:val="0"/>
          <w:numId w:val="4"/>
        </w:numPr>
        <w:autoSpaceDE w:val="0"/>
        <w:autoSpaceDN w:val="0"/>
        <w:adjustRightInd w:val="0"/>
        <w:rPr>
          <w:rFonts w:ascii="Calibri" w:hAnsi="Calibri" w:cs="Calibri"/>
          <w:sz w:val="22"/>
          <w:szCs w:val="32"/>
        </w:rPr>
      </w:pPr>
      <w:r w:rsidRPr="003A7B15">
        <w:rPr>
          <w:rFonts w:ascii="Calibri" w:hAnsi="Calibri" w:cs="Calibri"/>
          <w:b/>
          <w:sz w:val="22"/>
          <w:szCs w:val="32"/>
        </w:rPr>
        <w:t>Communication</w:t>
      </w:r>
      <w:r w:rsidRPr="003A7B15">
        <w:rPr>
          <w:rFonts w:ascii="Calibri" w:hAnsi="Calibri" w:cs="Calibri"/>
          <w:b/>
          <w:sz w:val="22"/>
          <w:szCs w:val="32"/>
        </w:rPr>
        <w:br/>
      </w:r>
      <w:r w:rsidR="00753BC5" w:rsidRPr="003A7B15">
        <w:rPr>
          <w:rFonts w:ascii="Calibri" w:hAnsi="Calibri" w:cs="Calibri"/>
          <w:sz w:val="22"/>
          <w:szCs w:val="32"/>
        </w:rPr>
        <w:t>Facilitate c</w:t>
      </w:r>
      <w:r w:rsidR="00DD09D8" w:rsidRPr="003A7B15">
        <w:rPr>
          <w:rFonts w:ascii="Calibri" w:hAnsi="Calibri" w:cs="Calibri"/>
          <w:sz w:val="22"/>
          <w:szCs w:val="32"/>
        </w:rPr>
        <w:t>ommunication</w:t>
      </w:r>
      <w:r w:rsidR="00753BC5" w:rsidRPr="003A7B15">
        <w:rPr>
          <w:rFonts w:ascii="Calibri" w:hAnsi="Calibri" w:cs="Calibri"/>
          <w:sz w:val="22"/>
          <w:szCs w:val="32"/>
        </w:rPr>
        <w:t xml:space="preserve"> through a platform of appropriate and accessible channels</w:t>
      </w:r>
      <w:r w:rsidR="00C47D8C" w:rsidRPr="003A7B15">
        <w:rPr>
          <w:rFonts w:ascii="Calibri" w:hAnsi="Calibri" w:cs="Calibri"/>
          <w:sz w:val="22"/>
          <w:szCs w:val="32"/>
        </w:rPr>
        <w:t xml:space="preserve"> connecting all stakeholders of the University from the governing board to students</w:t>
      </w:r>
      <w:bookmarkStart w:id="0" w:name="_GoBack"/>
      <w:bookmarkEnd w:id="0"/>
      <w:r w:rsidR="00753BC5" w:rsidRPr="003A7B15">
        <w:rPr>
          <w:rFonts w:ascii="Calibri" w:hAnsi="Calibri" w:cs="Calibri"/>
          <w:sz w:val="22"/>
          <w:szCs w:val="32"/>
        </w:rPr>
        <w:t>.</w:t>
      </w:r>
      <w:r w:rsidR="008620E0" w:rsidRPr="003A7B15">
        <w:rPr>
          <w:rFonts w:ascii="Calibri" w:hAnsi="Calibri" w:cs="Calibri"/>
          <w:sz w:val="22"/>
          <w:szCs w:val="32"/>
        </w:rPr>
        <w:t xml:space="preserve"> </w:t>
      </w:r>
    </w:p>
    <w:p w:rsidR="00DD09D8" w:rsidRPr="003A7B15" w:rsidRDefault="00DD09D8" w:rsidP="00DD09D8">
      <w:pPr>
        <w:widowControl w:val="0"/>
        <w:autoSpaceDE w:val="0"/>
        <w:autoSpaceDN w:val="0"/>
        <w:adjustRightInd w:val="0"/>
        <w:rPr>
          <w:rFonts w:ascii="Calibri" w:hAnsi="Calibri" w:cs="Calibri"/>
          <w:sz w:val="22"/>
          <w:szCs w:val="32"/>
        </w:rPr>
      </w:pPr>
    </w:p>
    <w:p w:rsidR="00DD09D8" w:rsidRPr="003A7B15" w:rsidRDefault="00461754" w:rsidP="00DD09D8">
      <w:pPr>
        <w:pStyle w:val="ListParagraph"/>
        <w:widowControl w:val="0"/>
        <w:numPr>
          <w:ilvl w:val="0"/>
          <w:numId w:val="4"/>
        </w:numPr>
        <w:autoSpaceDE w:val="0"/>
        <w:autoSpaceDN w:val="0"/>
        <w:adjustRightInd w:val="0"/>
        <w:rPr>
          <w:rFonts w:ascii="Calibri" w:hAnsi="Calibri" w:cs="Calibri"/>
          <w:sz w:val="22"/>
          <w:szCs w:val="32"/>
        </w:rPr>
      </w:pPr>
      <w:r w:rsidRPr="003A7B15">
        <w:rPr>
          <w:rFonts w:ascii="Calibri" w:hAnsi="Calibri" w:cs="Calibri"/>
          <w:b/>
          <w:sz w:val="22"/>
          <w:szCs w:val="32"/>
        </w:rPr>
        <w:t>Flexibility</w:t>
      </w:r>
      <w:r w:rsidRPr="003A7B15">
        <w:rPr>
          <w:rFonts w:asciiTheme="majorHAnsi" w:hAnsiTheme="majorHAnsi"/>
          <w:b/>
          <w:sz w:val="22"/>
        </w:rPr>
        <w:t xml:space="preserve"> </w:t>
      </w:r>
      <w:r w:rsidR="00684B46" w:rsidRPr="003A7B15">
        <w:rPr>
          <w:rFonts w:asciiTheme="majorHAnsi" w:hAnsiTheme="majorHAnsi"/>
          <w:sz w:val="22"/>
        </w:rPr>
        <w:br/>
      </w:r>
      <w:r w:rsidR="00EC2470" w:rsidRPr="003A7B15">
        <w:rPr>
          <w:rFonts w:asciiTheme="majorHAnsi" w:hAnsiTheme="majorHAnsi"/>
          <w:sz w:val="22"/>
        </w:rPr>
        <w:t>Encourage a flexible organization that is able to responsibly reflect on and creatively respond to opportunities for academic innovation.</w:t>
      </w:r>
      <w:r w:rsidR="00EC2470" w:rsidRPr="003A7B15">
        <w:rPr>
          <w:rFonts w:ascii="Calibri" w:hAnsi="Calibri" w:cs="Calibri"/>
          <w:sz w:val="22"/>
          <w:szCs w:val="32"/>
        </w:rPr>
        <w:t xml:space="preserve"> </w:t>
      </w:r>
    </w:p>
    <w:sectPr w:rsidR="00DD09D8" w:rsidRPr="003A7B15" w:rsidSect="003A7B15">
      <w:pgSz w:w="12240" w:h="15840"/>
      <w:pgMar w:top="1440" w:right="1800" w:bottom="1656"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0CC4"/>
    <w:multiLevelType w:val="hybridMultilevel"/>
    <w:tmpl w:val="9C0ADAD0"/>
    <w:lvl w:ilvl="0" w:tplc="F46ECFB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97087"/>
    <w:multiLevelType w:val="hybridMultilevel"/>
    <w:tmpl w:val="6AFCA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F1D99"/>
    <w:multiLevelType w:val="hybridMultilevel"/>
    <w:tmpl w:val="3676D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F3253"/>
    <w:multiLevelType w:val="hybridMultilevel"/>
    <w:tmpl w:val="C4126BB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361B3D"/>
    <w:multiLevelType w:val="hybridMultilevel"/>
    <w:tmpl w:val="2FD8E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09D8"/>
    <w:rsid w:val="00210E97"/>
    <w:rsid w:val="002D5282"/>
    <w:rsid w:val="00372A61"/>
    <w:rsid w:val="00397AB5"/>
    <w:rsid w:val="003A7B15"/>
    <w:rsid w:val="00461754"/>
    <w:rsid w:val="004A22A5"/>
    <w:rsid w:val="004E591F"/>
    <w:rsid w:val="00577EC8"/>
    <w:rsid w:val="0060645E"/>
    <w:rsid w:val="006079E2"/>
    <w:rsid w:val="00684B46"/>
    <w:rsid w:val="006952C5"/>
    <w:rsid w:val="006A4A17"/>
    <w:rsid w:val="006F343C"/>
    <w:rsid w:val="006F73FC"/>
    <w:rsid w:val="00753BC5"/>
    <w:rsid w:val="00772E2B"/>
    <w:rsid w:val="008620E0"/>
    <w:rsid w:val="00877E4E"/>
    <w:rsid w:val="008819D7"/>
    <w:rsid w:val="008F5494"/>
    <w:rsid w:val="009011A5"/>
    <w:rsid w:val="0094519C"/>
    <w:rsid w:val="009827F6"/>
    <w:rsid w:val="009D0926"/>
    <w:rsid w:val="00A74F9E"/>
    <w:rsid w:val="00AC65BB"/>
    <w:rsid w:val="00B371DE"/>
    <w:rsid w:val="00B713BA"/>
    <w:rsid w:val="00B71FB1"/>
    <w:rsid w:val="00C47D8C"/>
    <w:rsid w:val="00C57D24"/>
    <w:rsid w:val="00C95247"/>
    <w:rsid w:val="00CB3F00"/>
    <w:rsid w:val="00CC3B99"/>
    <w:rsid w:val="00DC2F32"/>
    <w:rsid w:val="00DD09D8"/>
    <w:rsid w:val="00E174A9"/>
    <w:rsid w:val="00EC2470"/>
    <w:rsid w:val="00F25BF8"/>
    <w:rsid w:val="00F653F8"/>
    <w:rsid w:val="00FF26E0"/>
  </w:rsids>
  <m:mathPr>
    <m:mathFont m:val="Univers-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D09D8"/>
    <w:pPr>
      <w:ind w:left="720"/>
      <w:contextualSpacing/>
    </w:pPr>
    <w:rPr>
      <w:rFonts w:eastAsiaTheme="minorEastAsia"/>
      <w:lang w:eastAsia="ja-JP"/>
    </w:rPr>
  </w:style>
  <w:style w:type="paragraph" w:styleId="BalloonText">
    <w:name w:val="Balloon Text"/>
    <w:basedOn w:val="Normal"/>
    <w:link w:val="BalloonTextChar"/>
    <w:uiPriority w:val="99"/>
    <w:semiHidden/>
    <w:unhideWhenUsed/>
    <w:rsid w:val="002D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2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3382</Characters>
  <Application>Microsoft Macintosh Word</Application>
  <DocSecurity>0</DocSecurity>
  <Lines>28</Lines>
  <Paragraphs>6</Paragraphs>
  <ScaleCrop>false</ScaleCrop>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Gwynne Keathley</dc:creator>
  <cp:keywords/>
  <cp:lastModifiedBy>Gwynne Keathley</cp:lastModifiedBy>
  <cp:revision>3</cp:revision>
  <dcterms:created xsi:type="dcterms:W3CDTF">2011-08-12T17:23:00Z</dcterms:created>
  <dcterms:modified xsi:type="dcterms:W3CDTF">2011-08-12T17:27:00Z</dcterms:modified>
</cp:coreProperties>
</file>